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4C1" w:rsidRPr="008A1AC4" w:rsidRDefault="00FE64C1" w:rsidP="000D52F7">
      <w:pPr>
        <w:spacing w:after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E64C1" w:rsidRPr="008A1AC4" w:rsidRDefault="005B5E6E" w:rsidP="000D52F7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A1AC4">
        <w:rPr>
          <w:rFonts w:ascii="Times New Roman" w:hAnsi="Times New Roman" w:cs="Times New Roman"/>
          <w:b/>
          <w:bCs/>
          <w:color w:val="000000"/>
          <w:sz w:val="20"/>
          <w:szCs w:val="20"/>
        </w:rPr>
        <w:t>Техническая спецификация</w:t>
      </w:r>
    </w:p>
    <w:p w:rsidR="005B5E6E" w:rsidRPr="008A1AC4" w:rsidRDefault="005B5E6E" w:rsidP="000D52F7">
      <w:pPr>
        <w:pStyle w:val="a3"/>
        <w:rPr>
          <w:rFonts w:ascii="Times New Roman" w:hAnsi="Times New Roman"/>
          <w:b/>
          <w:bCs/>
          <w:sz w:val="20"/>
          <w:szCs w:val="20"/>
        </w:rPr>
      </w:pPr>
      <w:r w:rsidRPr="008A1AC4">
        <w:rPr>
          <w:rFonts w:ascii="Times New Roman" w:hAnsi="Times New Roman"/>
          <w:b/>
          <w:bCs/>
          <w:sz w:val="20"/>
          <w:szCs w:val="20"/>
        </w:rPr>
        <w:t xml:space="preserve">                        </w:t>
      </w:r>
      <w:r w:rsidR="00FE64C1" w:rsidRPr="008A1AC4">
        <w:rPr>
          <w:rFonts w:ascii="Times New Roman" w:hAnsi="Times New Roman"/>
          <w:b/>
          <w:bCs/>
          <w:sz w:val="20"/>
          <w:szCs w:val="20"/>
        </w:rPr>
        <w:t xml:space="preserve">                          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977"/>
        <w:gridCol w:w="850"/>
        <w:gridCol w:w="3402"/>
        <w:gridCol w:w="5387"/>
        <w:gridCol w:w="1843"/>
      </w:tblGrid>
      <w:tr w:rsidR="005B5E6E" w:rsidRPr="008A1AC4" w:rsidTr="007601E4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B5E6E" w:rsidRPr="008A1AC4" w:rsidRDefault="005B5E6E" w:rsidP="000D52F7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B5E6E" w:rsidRPr="008A1AC4" w:rsidRDefault="005B5E6E" w:rsidP="000D52F7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B5E6E" w:rsidRPr="008A1AC4" w:rsidRDefault="005B5E6E" w:rsidP="000D52F7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</w:tr>
      <w:tr w:rsidR="005B5E6E" w:rsidRPr="008A1AC4" w:rsidTr="007601E4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E6E" w:rsidRPr="008A1AC4" w:rsidRDefault="005B5E6E" w:rsidP="000D52F7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88" w:rsidRPr="008A1AC4" w:rsidRDefault="00381388" w:rsidP="00381388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/>
                <w:b/>
                <w:sz w:val="20"/>
                <w:szCs w:val="20"/>
              </w:rPr>
              <w:t>Наименование медицинской техники</w:t>
            </w:r>
          </w:p>
          <w:p w:rsidR="005B5E6E" w:rsidRPr="008A1AC4" w:rsidRDefault="005B5E6E" w:rsidP="00381388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3" w:rsidRPr="008A1AC4" w:rsidRDefault="00582E55" w:rsidP="00DB786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 </w:t>
            </w:r>
            <w:proofErr w:type="spellStart"/>
            <w:r w:rsidRPr="008A1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виброакустический</w:t>
            </w:r>
            <w:proofErr w:type="spellEnd"/>
            <w:r w:rsidRPr="008A1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E658F" w:rsidRPr="008A1AC4" w:rsidRDefault="008E658F" w:rsidP="00582E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B09" w:rsidRPr="008A1AC4" w:rsidTr="007B6A30">
        <w:trPr>
          <w:trHeight w:val="88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7B09" w:rsidRPr="008A1AC4" w:rsidRDefault="00E27B09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7B09" w:rsidRPr="008A1AC4" w:rsidRDefault="00E27B09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B09" w:rsidRPr="008A1AC4" w:rsidRDefault="00E27B09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27B09" w:rsidRPr="008A1AC4" w:rsidRDefault="00E27B09" w:rsidP="000D52F7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B09" w:rsidRPr="008A1AC4" w:rsidRDefault="00E27B09" w:rsidP="00381388">
            <w:pPr>
              <w:spacing w:after="0"/>
              <w:ind w:left="-97" w:right="-8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proofErr w:type="gramStart"/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комплектующего</w:t>
            </w:r>
            <w:proofErr w:type="gramEnd"/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 медицинской технике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B09" w:rsidRPr="008A1AC4" w:rsidRDefault="000C2EB6" w:rsidP="000D52F7">
            <w:pPr>
              <w:spacing w:after="0"/>
              <w:ind w:left="-97" w:right="-8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E27B09"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ехническая характеристика </w:t>
            </w:r>
            <w:proofErr w:type="gramStart"/>
            <w:r w:rsidR="00E27B09"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комплектующего</w:t>
            </w:r>
            <w:proofErr w:type="gramEnd"/>
            <w:r w:rsidR="00E27B09"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 медицинской технике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B09" w:rsidRPr="008A1AC4" w:rsidRDefault="00E27B09" w:rsidP="00381388">
            <w:pPr>
              <w:snapToGrid w:val="0"/>
              <w:spacing w:after="0" w:line="200" w:lineRule="atLeast"/>
              <w:ind w:left="-97" w:right="-8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Требуемое количество</w:t>
            </w:r>
          </w:p>
          <w:p w:rsidR="00E27B09" w:rsidRPr="008A1AC4" w:rsidRDefault="00E27B09" w:rsidP="00381388">
            <w:pPr>
              <w:spacing w:after="0"/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с указанием единицы измерения</w:t>
            </w: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E27B09" w:rsidRPr="008A1AC4" w:rsidTr="007601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7B09" w:rsidRPr="008A1AC4" w:rsidRDefault="00E27B09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7B09" w:rsidRPr="008A1AC4" w:rsidRDefault="00E27B09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09" w:rsidRPr="008A1AC4" w:rsidRDefault="00E27B09" w:rsidP="000D52F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комплектующие:</w:t>
            </w:r>
          </w:p>
        </w:tc>
      </w:tr>
      <w:tr w:rsidR="00E27B09" w:rsidRPr="008A1AC4" w:rsidTr="007601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7B09" w:rsidRPr="008A1AC4" w:rsidRDefault="00E27B09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7B09" w:rsidRPr="008A1AC4" w:rsidRDefault="00E27B09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B09" w:rsidRPr="008A1AC4" w:rsidRDefault="00E27B09" w:rsidP="000D5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09" w:rsidRPr="008A1AC4" w:rsidRDefault="00E27B09" w:rsidP="000D52F7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A1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 </w:t>
            </w:r>
            <w:proofErr w:type="spellStart"/>
            <w:r w:rsidRPr="008A1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виброакустический</w:t>
            </w:r>
            <w:proofErr w:type="spellEnd"/>
            <w:r w:rsidRPr="008A1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</w:t>
            </w:r>
            <w:r w:rsidR="00D75229"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, не хуже: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Аппарат </w:t>
            </w:r>
            <w:r w:rsidR="00D7522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должен быть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 для терапии патологических состояний, связанных с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обструктивными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рестриктивными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(паренхиматозными) заболеваниями легких у пациентов в условиях медицинских учреждений. 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Аппарат </w:t>
            </w:r>
            <w:r w:rsidR="00AE3F1A" w:rsidRPr="008A1AC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должен быть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рассчитан как на сочетанное применение совместно с аппаратами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инвазивной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неинвазивной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искусственной вентиляции легких, СРАР аппаратами, аппаратами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высокопоточной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назальной оксигенотерапии, дыхательными тренажерами, так и на самостоятельное применение, в зависимости от патологии. Аппарат </w:t>
            </w:r>
            <w:r w:rsidR="00AE3F1A" w:rsidRPr="008A1AC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должен иметь возможность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применяться в сочетании с ингаляционной терапией, приемами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постурального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дренажа и кинетической терапии. 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Аппарат </w:t>
            </w:r>
            <w:r w:rsidR="00AE3F1A" w:rsidRPr="008A1AC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должен быть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рассчитан на применение при лечении острых, обострении хронических заболеваний легких, а также для профилактики осложнений со стороны респираторной системы. 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Область применения по нозологии и механизмам воздействия</w:t>
            </w:r>
            <w:r w:rsidR="00100B50" w:rsidRPr="008A1AC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должна быть не хуже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Состояния, связанные с нарушением эвакуации мокроты: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патология (ХОБЛ, бронхоэктатическая болезнь легких, бронхиты,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муковисцедоз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, силикозы и др.), нарушения кашлевого рефлекса центрального происхождения (пациенты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нейро-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инсультного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профиля), состояния с нарушением кашлевого рефлекса вследствие интубации трахеи (пациенты реанимационного профиля, находящиеся на ИВЛ).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Рестриктивная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патология легких (паренхиматозная дыхательная недостаточность): пневмонии различной степени тяжести, локализации и генеза, </w:t>
            </w:r>
            <w:proofErr w:type="gram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первичный</w:t>
            </w:r>
            <w:proofErr w:type="gram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и вторичный респираторный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дистресс-синдром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альвеолит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пневмонит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27B09" w:rsidRPr="008A1AC4" w:rsidRDefault="00E27B09" w:rsidP="007B6A30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Профилактика респираторных осложнений у тяжелых пациентов, длительно находящихся в постельном режиме, у пациентов на ИВЛ (пациенты отделений реанимации различных профилей, отделений или палат интенсивной терапии, пациенты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нейро-инсультного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профиля, с ЧМТ,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политравмой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Конструкция и исполнение</w:t>
            </w:r>
            <w:r w:rsidR="00100B50"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не хуже: 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Аппарат </w:t>
            </w:r>
            <w:r w:rsidR="00B5649A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должен быть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 в виде мобильного передвижного блока на </w:t>
            </w:r>
            <w:r w:rsidR="00B5649A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не менее чем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4-х колесах с тормозным механизмом. Тип исполнения</w:t>
            </w:r>
            <w:r w:rsidR="00B5649A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должен быть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: стационарно-передвижной. Это </w:t>
            </w:r>
            <w:r w:rsidR="00B51C9C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должно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обеспечива</w:t>
            </w:r>
            <w:r w:rsidR="00B51C9C" w:rsidRPr="008A1AC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возможность перемещения аппарата внутри медицинских учреждений и удобную установку в любом удобном месте для выполнения процедуры как непосредственно у кровати больного, так и в специально отведенном кабинете. 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Передвижной модуль аппарата </w:t>
            </w:r>
            <w:r w:rsidR="00EF25F0" w:rsidRPr="008A1AC4">
              <w:rPr>
                <w:rFonts w:ascii="Times New Roman" w:hAnsi="Times New Roman" w:cs="Times New Roman"/>
                <w:sz w:val="20"/>
                <w:szCs w:val="20"/>
              </w:rPr>
              <w:t>должен иметь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рабочий столик с подсветкой, в котором </w:t>
            </w:r>
            <w:r w:rsidR="00EF25F0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должны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име</w:t>
            </w:r>
            <w:r w:rsidR="00EF25F0" w:rsidRPr="008A1AC4">
              <w:rPr>
                <w:rFonts w:ascii="Times New Roman" w:hAnsi="Times New Roman" w:cs="Times New Roman"/>
                <w:sz w:val="20"/>
                <w:szCs w:val="20"/>
              </w:rPr>
              <w:t>ться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гнезда для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виброакустических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излучателей. Над рабочим столиком</w:t>
            </w:r>
            <w:r w:rsidR="00EF25F0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должен быть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расположен дисплей, с помощью которого</w:t>
            </w:r>
            <w:r w:rsidR="00EF25F0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должно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25F0" w:rsidRPr="008A1AC4">
              <w:rPr>
                <w:rFonts w:ascii="Times New Roman" w:hAnsi="Times New Roman" w:cs="Times New Roman"/>
                <w:sz w:val="20"/>
                <w:szCs w:val="20"/>
              </w:rPr>
              <w:t>осуществляться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аппаратом. В комплекте с аппаратом </w:t>
            </w:r>
            <w:r w:rsidR="00EF25F0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два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виброакустических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излучателя, соединяющихся витым шнуром с основным модулем аппарата.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Все электронные узлы </w:t>
            </w:r>
            <w:r w:rsidR="006F67FF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должны быть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вмонтированы в модуль. Электронная схема </w:t>
            </w:r>
            <w:r w:rsidR="006F67FF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должна быть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выполнена на </w:t>
            </w:r>
            <w:r w:rsidR="006F67FF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не мене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двух микропроцессорах, один </w:t>
            </w:r>
            <w:r w:rsidR="006F67FF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должен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отвеча</w:t>
            </w:r>
            <w:r w:rsidR="006F67FF" w:rsidRPr="008A1AC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за интерфейс, второй за работу генератора. </w:t>
            </w:r>
            <w:proofErr w:type="gram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Исполнительные программы </w:t>
            </w:r>
            <w:r w:rsidR="006F67FF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должны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хран</w:t>
            </w:r>
            <w:r w:rsidR="006F67FF" w:rsidRPr="008A1AC4">
              <w:rPr>
                <w:rFonts w:ascii="Times New Roman" w:hAnsi="Times New Roman" w:cs="Times New Roman"/>
                <w:sz w:val="20"/>
                <w:szCs w:val="20"/>
              </w:rPr>
              <w:t>ится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на съемной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флэш-карте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, что</w:t>
            </w:r>
            <w:r w:rsidR="006F67FF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должно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позволяет легко обновлять и дополнять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опционально программное обеспечение.</w:t>
            </w:r>
            <w:proofErr w:type="gram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67FF" w:rsidRPr="008A1AC4">
              <w:rPr>
                <w:rFonts w:ascii="Times New Roman" w:hAnsi="Times New Roman" w:cs="Times New Roman"/>
                <w:sz w:val="20"/>
                <w:szCs w:val="20"/>
              </w:rPr>
              <w:t>Должна быть п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редусмотрена обратная связь с излучателями, обеспечивающая распознавание типа излучателя и его состояние (контакт с облучаемой поверхностью).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Аппарат </w:t>
            </w:r>
            <w:r w:rsidR="0068177D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должен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име</w:t>
            </w:r>
            <w:r w:rsidR="0068177D" w:rsidRPr="008A1AC4">
              <w:rPr>
                <w:rFonts w:ascii="Times New Roman" w:hAnsi="Times New Roman" w:cs="Times New Roman"/>
                <w:sz w:val="20"/>
                <w:szCs w:val="20"/>
              </w:rPr>
              <w:t>ть не менее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два независимых параллельных канала, обеспечивающих возможность вывода сигнала с различной фазой сдвига или полностью разнотипных. Электрические сигналы, которые преобразуются излучателями в вибрацию, </w:t>
            </w:r>
            <w:r w:rsidR="0068177D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должны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синтези</w:t>
            </w:r>
            <w:r w:rsidR="0068177D" w:rsidRPr="008A1AC4">
              <w:rPr>
                <w:rFonts w:ascii="Times New Roman" w:hAnsi="Times New Roman" w:cs="Times New Roman"/>
                <w:sz w:val="20"/>
                <w:szCs w:val="20"/>
              </w:rPr>
              <w:t>роваться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цифровым способом. Форма основного несущего сигнала:</w:t>
            </w:r>
            <w:r w:rsidR="0068177D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должна быть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синусоида, которая модулируется по частоте и амплитуде огибающей сложной формы. Конечная амплитудно-частотная характеристика волны, распространяемой по телу – </w:t>
            </w:r>
            <w:r w:rsidR="0068177D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должна быть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нелинейная, с подъемом амплитуды на более высоких частотах и скорректирована электронным способом. Это</w:t>
            </w:r>
            <w:r w:rsidR="0068177D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должно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позволя</w:t>
            </w:r>
            <w:r w:rsidR="0068177D" w:rsidRPr="008A1AC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акцентировать воздействие на более мелкие составляющие паренхимы легких, анатомически располагающиеся ближе к каркасу грудной клетки, например, при паренхиматозной дыхательной недостаточности. </w:t>
            </w:r>
            <w:proofErr w:type="gramStart"/>
            <w:r w:rsidR="0068177D" w:rsidRPr="008A1AC4">
              <w:rPr>
                <w:rFonts w:ascii="Times New Roman" w:hAnsi="Times New Roman" w:cs="Times New Roman"/>
                <w:sz w:val="20"/>
                <w:szCs w:val="20"/>
              </w:rPr>
              <w:t>Должно быть н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аличие электронной коррекции амплитудно-частотной характеристики конечного давления в камере, постоянно изменяющаяся частота, модулирующая огибающая сложной формы с акцентами в определенных частотных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поддиапазонах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, обеспечиваю</w:t>
            </w:r>
            <w:r w:rsidR="0068177D" w:rsidRPr="008A1AC4">
              <w:rPr>
                <w:rFonts w:ascii="Times New Roman" w:hAnsi="Times New Roman" w:cs="Times New Roman"/>
                <w:sz w:val="20"/>
                <w:szCs w:val="20"/>
              </w:rPr>
              <w:t>щих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одновременно максимальную эффективность и в тоже время защиту, за счет снижения агрессивности воздействия на более низких частотах и в резонансе.</w:t>
            </w:r>
            <w:proofErr w:type="gramEnd"/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Выходные каскады аппарата </w:t>
            </w:r>
            <w:r w:rsidR="00665343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должны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име</w:t>
            </w:r>
            <w:r w:rsidR="00665343" w:rsidRPr="008A1AC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встроенную</w:t>
            </w:r>
            <w:r w:rsidR="00665343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чем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тройную защиту (тепловая, токовая, по постоянной составляющей), повышающую надежность аппарата и обеспечивают защиту излучателей в случае возникновения неисправности.</w:t>
            </w:r>
            <w:proofErr w:type="gramEnd"/>
          </w:p>
          <w:p w:rsidR="004A2180" w:rsidRPr="008A1AC4" w:rsidRDefault="00E27B09" w:rsidP="007B6A30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В аппарате </w:t>
            </w:r>
            <w:r w:rsidR="00665343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должна быть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применена электронная схема с обратной связью с излучателями, обеспечивающая автостарт процедуры при прикладывании излучателей к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поверхности и отключению при их снятии, а также отключению неиспользованного излучателя.  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Интерфейс пользователя</w:t>
            </w:r>
            <w:r w:rsidR="00665343"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не хуже: 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Интерфейс пользователя </w:t>
            </w:r>
            <w:r w:rsidR="004930F4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должен быть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выполнен в виде цветного сенсорного экрана (размер –</w:t>
            </w:r>
            <w:r w:rsidR="004930F4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10 дюймов, разрешение – </w:t>
            </w:r>
            <w:r w:rsidR="004930F4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F8061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1280 </w:t>
            </w:r>
            <w:proofErr w:type="spellStart"/>
            <w:r w:rsidR="00F80619" w:rsidRPr="008A1AC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="00F8061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800 WSVGA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), располагающегося над рабочим столиком. На сенсорном экране </w:t>
            </w:r>
            <w:r w:rsidR="004930F4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должны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отобража</w:t>
            </w:r>
            <w:r w:rsidR="004930F4" w:rsidRPr="008A1AC4">
              <w:rPr>
                <w:rFonts w:ascii="Times New Roman" w:hAnsi="Times New Roman" w:cs="Times New Roman"/>
                <w:sz w:val="20"/>
                <w:szCs w:val="20"/>
              </w:rPr>
              <w:t>ться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: клавиши быстрого старта предварительно выбранных и настроенных исполнительных программ, клавиши профиля, перечень программ в соответствии с выбранным профилем, рабочее окно исполнительной программой, графическая и текстовая информация о состоянии (активности) каждого излучателя, его типе, регулятор выходного уровня мощности, графически-цифровой таймер процедуры, сенсоры навигации. Также, интерфейс </w:t>
            </w:r>
            <w:r w:rsidR="004930F4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должен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обеспечива</w:t>
            </w:r>
            <w:r w:rsidR="004930F4" w:rsidRPr="008A1AC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вывод сервисного меню с возможностью предварительной настройки, выбора языков и других сервисных функций.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Во время загрузки программного обеспечения</w:t>
            </w:r>
            <w:r w:rsidR="004930F4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должно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</w:t>
            </w:r>
            <w:r w:rsidR="004930F4" w:rsidRPr="008A1AC4">
              <w:rPr>
                <w:rFonts w:ascii="Times New Roman" w:hAnsi="Times New Roman" w:cs="Times New Roman"/>
                <w:sz w:val="20"/>
                <w:szCs w:val="20"/>
              </w:rPr>
              <w:t>ться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самотестирование аппарата, в случае обнаружения неисправности на экран </w:t>
            </w:r>
            <w:r w:rsidR="004930F4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должен </w:t>
            </w:r>
            <w:proofErr w:type="gram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выводится</w:t>
            </w:r>
            <w:proofErr w:type="gram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номер ошибки и ее расшифровка.</w:t>
            </w:r>
          </w:p>
          <w:p w:rsidR="00E27B09" w:rsidRPr="008A1AC4" w:rsidRDefault="00E27B09" w:rsidP="007B6A30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Язык интерфейса: </w:t>
            </w:r>
            <w:r w:rsidR="004930F4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должен быть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русский.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Исполнительные программы</w:t>
            </w:r>
            <w:r w:rsidR="00D94029"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, не хуже: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Исполнительные программы </w:t>
            </w:r>
            <w:r w:rsidR="00D94029" w:rsidRPr="008A1AC4">
              <w:rPr>
                <w:rFonts w:ascii="Times New Roman" w:hAnsi="Times New Roman" w:cs="Times New Roman"/>
                <w:sz w:val="20"/>
                <w:szCs w:val="20"/>
              </w:rPr>
              <w:t>должны обеспечивать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синтез сложного сигнала в рамках основного частотного диапазона. В зависимости от требуемого эффекта программы</w:t>
            </w:r>
            <w:r w:rsidR="00D9402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должны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отлич</w:t>
            </w:r>
            <w:r w:rsidR="00D94029" w:rsidRPr="008A1AC4">
              <w:rPr>
                <w:rFonts w:ascii="Times New Roman" w:hAnsi="Times New Roman" w:cs="Times New Roman"/>
                <w:sz w:val="20"/>
                <w:szCs w:val="20"/>
              </w:rPr>
              <w:t>аться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частотными акцентами, формой модуляции основного сигнала, который обеспечивает различные эффекты: пилообразный рост или спад, перкуссия, плавные проходы в той или иной акцентируемой частотной зоне, амплитудная модуляция, амплитудный лимит, сдвиг фаз между двумя каналами и так далее. 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Во всех программах </w:t>
            </w:r>
            <w:r w:rsidR="00D9402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должен </w:t>
            </w:r>
            <w:r w:rsidR="00B75186" w:rsidRPr="008A1AC4">
              <w:rPr>
                <w:rFonts w:ascii="Times New Roman" w:hAnsi="Times New Roman" w:cs="Times New Roman"/>
                <w:sz w:val="20"/>
                <w:szCs w:val="20"/>
              </w:rPr>
              <w:t>использоваться синусоидальный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несущий сигнал, обеспечивающий </w:t>
            </w:r>
            <w:proofErr w:type="gram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максимальную</w:t>
            </w:r>
            <w:proofErr w:type="gram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физиологичность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и низкий уровень шума.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Общий частотный диапазон для всех программ, не зависимо от патологии и цели:</w:t>
            </w:r>
            <w:r w:rsidR="00B75186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должен быть не уже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от 20 Гц до </w:t>
            </w:r>
            <w:r w:rsidR="00F80619" w:rsidRPr="008A1AC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Гц. Наиболее активный частотный акцент: </w:t>
            </w:r>
            <w:r w:rsidR="00B75186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не уже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от 20 Гц до </w:t>
            </w:r>
            <w:r w:rsidR="00F80619" w:rsidRPr="008A1AC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0 Гц.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В аппарате </w:t>
            </w:r>
            <w:r w:rsidR="00B75186" w:rsidRPr="008A1AC4">
              <w:rPr>
                <w:rFonts w:ascii="Times New Roman" w:hAnsi="Times New Roman" w:cs="Times New Roman"/>
                <w:sz w:val="20"/>
                <w:szCs w:val="20"/>
              </w:rPr>
              <w:t>должна иметься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возможность обновления и дополнения исполнительных программ, которые соответствуют основным заявленным характеристикам аппарата (частотный диапазон, выходная мощность, форма несущего сигнала). 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Независимо от профиля/локализации, в каждом профиле</w:t>
            </w:r>
            <w:r w:rsidR="00B75186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должны быть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предусмотрены программы, для терапии состояний с нарушением эвакуации мокроты, а также состояний с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рестриктивной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/паренхиматозной дыхательной недостаточностью. 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Для некоторых профилей/локализаций, </w:t>
            </w:r>
            <w:r w:rsidR="00B75186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должны быть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предусмотрены специальные программы. В профиле «Реанимация», кроме стандартных программ, обязательно</w:t>
            </w:r>
            <w:r w:rsidR="00B75186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должны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присутств</w:t>
            </w:r>
            <w:r w:rsidR="00B75186" w:rsidRPr="008A1AC4">
              <w:rPr>
                <w:rFonts w:ascii="Times New Roman" w:hAnsi="Times New Roman" w:cs="Times New Roman"/>
                <w:sz w:val="20"/>
                <w:szCs w:val="20"/>
              </w:rPr>
              <w:t>овать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следующие исполнительные программы: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- для профилактики: сочетанные эффекты, направленные на профилактику застойной пневмонии, улучшение дренажа мокроты, ускорение гравитационного перераспределения жидкости из застойных отделов во время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киненетической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терапии;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- для санации: программа, рассчитанная на стимуляцию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мокротоотделения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перед санацией и во время санации трахеобронхиального дерева у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интубированных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пациентов, в том числе при бронхоскопии;</w:t>
            </w:r>
          </w:p>
          <w:p w:rsidR="00E27B09" w:rsidRPr="008A1AC4" w:rsidRDefault="00E27B09" w:rsidP="007B6A30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- для терапии респираторного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дистресс-синдрома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(ARDS): сочетанное применение на фоне постоянного положительного давления в дыхательных путях, создаваемое аппаратом ИВЛ, с целью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рекрутмента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альвеол.</w:t>
            </w:r>
            <w:proofErr w:type="gramEnd"/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Профиль/локализация</w:t>
            </w:r>
            <w:r w:rsidR="00462A8C"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не хуже: 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В зависимости от профиля пациента по локализации, в аппарате </w:t>
            </w:r>
            <w:r w:rsidR="00462A8C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должны быть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предусмотрены профили, в которых сохранен определенный набор исполнительных программ, соответствующих задачам данного профиля.</w:t>
            </w:r>
          </w:p>
          <w:p w:rsidR="00E27B09" w:rsidRPr="008A1AC4" w:rsidRDefault="00462A8C" w:rsidP="007B6A30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Должны быть п</w:t>
            </w:r>
            <w:r w:rsidR="00E27B0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рофили: «реанимация», «пульмонология», содержащие программы для пациентов реанимационного профиля и пульмонологического. Расширение «реанимационного профиля» в отдельные профили для пациентов торакальной хирургии и кардиохирургии. 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технические характеристики</w:t>
            </w:r>
            <w:r w:rsidR="00462A8C"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не хуже: 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Электропитание: стандартная электрическая сеть</w:t>
            </w:r>
            <w:r w:rsidR="00462A8C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не уже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220В+/- 10%, 50 Гц.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Максимальная потребляемая мощность:</w:t>
            </w:r>
            <w:r w:rsidR="00462A8C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не более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2738" w:rsidRPr="008A1AC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Вт.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Выходная мощность каждого канала: </w:t>
            </w:r>
            <w:r w:rsidR="00462A8C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622738" w:rsidRPr="008A1AC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Вт</w:t>
            </w:r>
            <w:r w:rsidR="00622738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+-10%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(на нагрузке 4 Ом).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частотный диапазон: </w:t>
            </w:r>
            <w:r w:rsidR="00462A8C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не уже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20 – 300 Гц.</w:t>
            </w:r>
          </w:p>
          <w:p w:rsidR="000C1329" w:rsidRPr="008A1AC4" w:rsidRDefault="000C132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Диапазон, воспроизводимый аппаратом: </w:t>
            </w:r>
            <w:r w:rsidR="00462A8C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не уже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10 - 20 000 Гц ± 6 </w:t>
            </w:r>
            <w:r w:rsidRPr="008A1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dB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Продолжительность сеанса: </w:t>
            </w:r>
            <w:r w:rsidR="00462A8C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300 +/- 10 сек.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независимых каналов: </w:t>
            </w:r>
            <w:r w:rsidR="00283115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E27B09" w:rsidRPr="008A1AC4" w:rsidRDefault="00E27B09" w:rsidP="000D52F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Принцип контроля контакта излучателей: </w:t>
            </w:r>
            <w:r w:rsidR="00462A8C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должен быть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оптический.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09" w:rsidRPr="008A1AC4" w:rsidRDefault="00E27B09" w:rsidP="000D5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</w:t>
            </w:r>
            <w:proofErr w:type="spellStart"/>
            <w:proofErr w:type="gram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к-т</w:t>
            </w:r>
            <w:proofErr w:type="spellEnd"/>
            <w:proofErr w:type="gram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27B09" w:rsidRPr="008A1AC4" w:rsidTr="007601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7B09" w:rsidRPr="008A1AC4" w:rsidRDefault="00E27B09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7B09" w:rsidRPr="008A1AC4" w:rsidRDefault="00E27B09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B09" w:rsidRPr="008A1AC4" w:rsidRDefault="00E27B09" w:rsidP="000D52F7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Дополнительные комплектующие</w:t>
            </w:r>
          </w:p>
        </w:tc>
      </w:tr>
      <w:tr w:rsidR="00E27B09" w:rsidRPr="008A1AC4" w:rsidTr="007601E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B09" w:rsidRPr="008A1AC4" w:rsidRDefault="00E27B09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B09" w:rsidRPr="008A1AC4" w:rsidRDefault="00E27B09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09" w:rsidRPr="008A1AC4" w:rsidRDefault="00E27B09" w:rsidP="000D5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09" w:rsidRPr="008A1AC4" w:rsidRDefault="00E27B09" w:rsidP="000D52F7">
            <w:pPr>
              <w:pStyle w:val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A1A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Кабель защитного заземления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09" w:rsidRPr="008A1AC4" w:rsidRDefault="00E27B09" w:rsidP="000D52F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Кабель защитного заземления 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должен быть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предназначен для заземления корпуса аппарата, в случае если аппарат подключается к нестандартной двух контактной незаземленной розетке.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09" w:rsidRPr="008A1AC4" w:rsidRDefault="00E27B09" w:rsidP="000D5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E27B09" w:rsidRPr="008A1AC4" w:rsidTr="007601E4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7B09" w:rsidRPr="008A1AC4" w:rsidRDefault="00E27B09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7B09" w:rsidRPr="008A1AC4" w:rsidRDefault="00E27B09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B09" w:rsidRPr="008A1AC4" w:rsidRDefault="00E27B09" w:rsidP="000D52F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Расходные материалы и изнашиваемые узлы:</w:t>
            </w:r>
          </w:p>
        </w:tc>
      </w:tr>
      <w:tr w:rsidR="00E27B09" w:rsidRPr="008A1AC4" w:rsidTr="007601E4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B09" w:rsidRPr="008A1AC4" w:rsidRDefault="00E27B09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B09" w:rsidRPr="008A1AC4" w:rsidRDefault="00E27B09" w:rsidP="000D52F7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09" w:rsidRPr="008A1AC4" w:rsidRDefault="00E27B09" w:rsidP="000D5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27B09" w:rsidRPr="008A1AC4" w:rsidRDefault="00E27B09" w:rsidP="000D5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09" w:rsidRPr="008A1AC4" w:rsidRDefault="00E27B09" w:rsidP="000D52F7">
            <w:pPr>
              <w:pStyle w:val="20"/>
              <w:tabs>
                <w:tab w:val="left" w:pos="6803"/>
              </w:tabs>
              <w:jc w:val="lef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A1A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Излучатель </w:t>
            </w:r>
            <w:proofErr w:type="spellStart"/>
            <w:r w:rsidRPr="008A1AC4">
              <w:rPr>
                <w:rFonts w:ascii="Times New Roman" w:hAnsi="Times New Roman"/>
                <w:sz w:val="20"/>
                <w:szCs w:val="20"/>
                <w:lang w:eastAsia="ru-RU"/>
              </w:rPr>
              <w:t>виброакустический</w:t>
            </w:r>
            <w:proofErr w:type="spellEnd"/>
            <w:r w:rsidRPr="008A1A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универсальный (взрослый)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09" w:rsidRPr="008A1AC4" w:rsidRDefault="00E27B09" w:rsidP="000D52F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Виброакустические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излучатели 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>должны иметь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специальную конструкцию, обеспечивающую максимально эффективность при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виброакустическом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массаже легких. </w:t>
            </w:r>
            <w:proofErr w:type="gram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Одновременно, конструктивная часть рабочей поверхности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должна быть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спроектирована специально под эластичные насадки, обеспечивающие комфортное для пациента восприятие вибрации и благодаря этому же мембрана излучателя не 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должна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име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прямого контакта с облучаемой поверхностью, что 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должно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обеспечива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между мембраной и поверхностью грудной клетки камеры повышенного акустического давления.</w:t>
            </w:r>
            <w:proofErr w:type="gram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Благодаря этому, а также большой площади охвата, при достаточно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высокой мощности воздействия, 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должно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обеспечива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ться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достаточно мягкое и комфортное восприятие процедуры пациентами. 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Должно </w:t>
            </w:r>
            <w:proofErr w:type="gramStart"/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>быть</w:t>
            </w:r>
            <w:proofErr w:type="gramEnd"/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аличие возможности работы через слои тканей, одежды, медицинского материала. </w:t>
            </w:r>
          </w:p>
          <w:p w:rsidR="00E27B09" w:rsidRPr="008A1AC4" w:rsidRDefault="00E27B09" w:rsidP="000D52F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Каждый излучатель 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должен быть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оснащен дополнительной оптической системой, которая 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должна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обеспечива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ть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автоматическое отключение излучателя при плохом контакте с поверхностью тела пациента или при его полном отсутствии. Это 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должно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предупрежда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преждевременный износ излучателя, а также 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должно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использ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>оваться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в обратной связи управления процедурой, для автоматического включения и выключения паузы, например, при смене расположения излучателей. </w:t>
            </w:r>
            <w:proofErr w:type="spellStart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Виброакустические</w:t>
            </w:r>
            <w:proofErr w:type="spellEnd"/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излучатели 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должны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подключа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>ться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к аппарату с помощью витого кабеля и разъемов с надежной резьбовой фиксацией, что 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должно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обеспечива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возможность работы с излучателями на удалении от аппарата до </w:t>
            </w:r>
            <w:r w:rsidR="00ED4A89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трех метров, а также их отключение или смену при необходимости. </w:t>
            </w:r>
          </w:p>
          <w:p w:rsidR="00E27B09" w:rsidRPr="008A1AC4" w:rsidRDefault="00E27B09" w:rsidP="000D52F7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характеристики излучателя</w:t>
            </w:r>
            <w:r w:rsidR="00ED4A89"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, не хуже:</w:t>
            </w:r>
          </w:p>
          <w:p w:rsidR="000C1329" w:rsidRPr="008A1AC4" w:rsidRDefault="000C1329" w:rsidP="000D52F7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 амплитуда колебаний мембраны излучателя:</w:t>
            </w:r>
            <w:r w:rsidR="00ED4A89" w:rsidRPr="008A1A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уже</w:t>
            </w:r>
            <w:r w:rsidRPr="008A1A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+/- 1 см</w:t>
            </w:r>
          </w:p>
          <w:p w:rsidR="00E27B09" w:rsidRPr="008A1AC4" w:rsidRDefault="00E27B09" w:rsidP="000D52F7">
            <w:pPr>
              <w:pStyle w:val="10"/>
            </w:pPr>
            <w:r w:rsidRPr="008A1AC4">
              <w:t xml:space="preserve">Максимальная длина витого кабеля излучателя с </w:t>
            </w:r>
            <w:r w:rsidR="00ED4A89" w:rsidRPr="008A1AC4">
              <w:t xml:space="preserve">не </w:t>
            </w:r>
            <w:proofErr w:type="gramStart"/>
            <w:r w:rsidR="00ED4A89" w:rsidRPr="008A1AC4">
              <w:t xml:space="preserve">менее </w:t>
            </w:r>
            <w:r w:rsidRPr="008A1AC4">
              <w:t>двойной</w:t>
            </w:r>
            <w:proofErr w:type="gramEnd"/>
            <w:r w:rsidRPr="008A1AC4">
              <w:t xml:space="preserve"> изоляцией в вытянутом состоянии: </w:t>
            </w:r>
            <w:r w:rsidR="00283115" w:rsidRPr="008A1AC4">
              <w:t xml:space="preserve"> </w:t>
            </w:r>
            <w:r w:rsidR="00ED4A89" w:rsidRPr="008A1AC4">
              <w:t xml:space="preserve">не менее </w:t>
            </w:r>
            <w:r w:rsidRPr="008A1AC4">
              <w:t>3 метра.</w:t>
            </w:r>
          </w:p>
          <w:p w:rsidR="00E27B09" w:rsidRPr="008A1AC4" w:rsidRDefault="00E27B09" w:rsidP="000D52F7">
            <w:pPr>
              <w:pStyle w:val="10"/>
            </w:pPr>
            <w:proofErr w:type="spellStart"/>
            <w:r w:rsidRPr="008A1AC4">
              <w:t>Электроизоляция</w:t>
            </w:r>
            <w:proofErr w:type="spellEnd"/>
            <w:r w:rsidRPr="008A1AC4">
              <w:t xml:space="preserve"> шнура: </w:t>
            </w:r>
            <w:r w:rsidR="00ED4A89" w:rsidRPr="008A1AC4">
              <w:t xml:space="preserve">не менее чем </w:t>
            </w:r>
            <w:proofErr w:type="gramStart"/>
            <w:r w:rsidRPr="008A1AC4">
              <w:t>двойная</w:t>
            </w:r>
            <w:proofErr w:type="gramEnd"/>
            <w:r w:rsidRPr="008A1AC4">
              <w:t>.</w:t>
            </w:r>
          </w:p>
          <w:p w:rsidR="00E27B09" w:rsidRPr="008A1AC4" w:rsidRDefault="000C1329" w:rsidP="000D52F7">
            <w:pPr>
              <w:pStyle w:val="10"/>
            </w:pPr>
            <w:r w:rsidRPr="008A1AC4">
              <w:t>Диаметр излучателя с уплотнительной насадкой –</w:t>
            </w:r>
            <w:r w:rsidR="00ED4A89" w:rsidRPr="008A1AC4">
              <w:t xml:space="preserve"> не более </w:t>
            </w:r>
            <w:r w:rsidRPr="008A1AC4">
              <w:t>14</w:t>
            </w:r>
            <w:r w:rsidR="00582E55" w:rsidRPr="008A1AC4">
              <w:t>5</w:t>
            </w:r>
            <w:r w:rsidRPr="008A1AC4">
              <w:t xml:space="preserve"> мм</w:t>
            </w:r>
            <w:r w:rsidR="00283115" w:rsidRPr="008A1AC4">
              <w:t xml:space="preserve">. </w:t>
            </w:r>
            <w:r w:rsidR="00E27B09" w:rsidRPr="008A1AC4">
              <w:t xml:space="preserve">Является расходным материалом. Гарантия на </w:t>
            </w:r>
            <w:proofErr w:type="spellStart"/>
            <w:r w:rsidR="00E27B09" w:rsidRPr="008A1AC4">
              <w:t>виброакустический</w:t>
            </w:r>
            <w:proofErr w:type="spellEnd"/>
            <w:r w:rsidR="00E27B09" w:rsidRPr="008A1AC4">
              <w:t xml:space="preserve"> излучатель –</w:t>
            </w:r>
            <w:r w:rsidR="00ED4A89" w:rsidRPr="008A1AC4">
              <w:t xml:space="preserve"> не менее </w:t>
            </w:r>
            <w:r w:rsidR="00E27B09" w:rsidRPr="008A1AC4">
              <w:t>12 месяцев.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09" w:rsidRPr="008A1AC4" w:rsidRDefault="00E27B09" w:rsidP="000D5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шт.</w:t>
            </w:r>
          </w:p>
        </w:tc>
      </w:tr>
      <w:tr w:rsidR="00E40602" w:rsidRPr="008A1AC4" w:rsidTr="007601E4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02" w:rsidRPr="008A1AC4" w:rsidRDefault="00381388" w:rsidP="000D52F7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02" w:rsidRPr="008A1AC4" w:rsidRDefault="00E40602" w:rsidP="000D52F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условиям эксплуатации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02" w:rsidRPr="008A1AC4" w:rsidRDefault="00E40602" w:rsidP="005B3DF8">
            <w:pPr>
              <w:shd w:val="clear" w:color="auto" w:fill="FFFFFF"/>
              <w:tabs>
                <w:tab w:val="left" w:pos="278"/>
                <w:tab w:val="left" w:pos="3125"/>
              </w:tabs>
              <w:spacing w:after="0" w:line="240" w:lineRule="auto"/>
              <w:ind w:lef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Электропитание: стандар</w:t>
            </w:r>
            <w:r w:rsidR="00F456A3" w:rsidRPr="008A1AC4">
              <w:rPr>
                <w:rFonts w:ascii="Times New Roman" w:hAnsi="Times New Roman" w:cs="Times New Roman"/>
                <w:sz w:val="20"/>
                <w:szCs w:val="20"/>
              </w:rPr>
              <w:t>тная электрическая сеть 220</w:t>
            </w:r>
            <w:r w:rsidR="00F456A3" w:rsidRPr="008A1AC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+</w:t>
            </w:r>
            <w:r w:rsidR="00F456A3" w:rsidRPr="008A1AC4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, 50 Гц.</w:t>
            </w:r>
            <w:r w:rsidR="00F456A3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40602" w:rsidRPr="008A1AC4" w:rsidTr="007B6A30">
        <w:trPr>
          <w:trHeight w:val="7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02" w:rsidRPr="008A1AC4" w:rsidRDefault="00381388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02" w:rsidRPr="008A1AC4" w:rsidRDefault="00381388" w:rsidP="007943B4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Условия осуществления поставки медицинской техники (</w:t>
            </w:r>
            <w:r w:rsidRPr="008A1A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соответствии с ИНКОТЕРМС 2010</w:t>
            </w:r>
            <w:r w:rsidRPr="008A1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C1" w:rsidRPr="008A1AC4" w:rsidRDefault="00E40602" w:rsidP="000D5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DDP</w:t>
            </w:r>
            <w:r w:rsidR="00FE64C1" w:rsidRPr="008A1AC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582E55"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1AC4" w:rsidRPr="008A1AC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КГП НА ПРАВЕ ХОЗЯЙСТВЕННОГО ВЕДЕНИЯ "ШИЕЛИЙСКАЯ МНОГОПРОФИЛЬНАЯ ЦЕНТРАЛЬНАЯ РАЙОННАЯ БОЛЬНИЦА" УПРАВЛЕНИЯ ЗДРАВООХРАНЕНИЯ КЫЗЫЛОРДИНСКОЙ ОБЛАСТИ"</w:t>
            </w:r>
          </w:p>
        </w:tc>
      </w:tr>
      <w:tr w:rsidR="00E40602" w:rsidRPr="008A1AC4" w:rsidTr="007601E4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02" w:rsidRPr="008A1AC4" w:rsidRDefault="00381388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02" w:rsidRPr="008A1AC4" w:rsidRDefault="00381388" w:rsidP="000D52F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Срок поставки медицинской техники и место дислокации</w:t>
            </w: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02" w:rsidRDefault="00FB01BF" w:rsidP="00342F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 с момента заключения договора</w:t>
            </w:r>
          </w:p>
          <w:p w:rsidR="00C83A36" w:rsidRPr="00C83A36" w:rsidRDefault="00C83A36" w:rsidP="00342F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3A36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Адрес: </w:t>
            </w:r>
            <w:proofErr w:type="spellStart"/>
            <w:r w:rsidRPr="00C83A36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Кызылординская</w:t>
            </w:r>
            <w:proofErr w:type="spellEnd"/>
            <w:r w:rsidRPr="00C83A36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C83A36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обл,пос</w:t>
            </w:r>
            <w:proofErr w:type="gramStart"/>
            <w:r w:rsidRPr="00C83A36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.Ш</w:t>
            </w:r>
            <w:proofErr w:type="gramEnd"/>
            <w:r w:rsidRPr="00C83A36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иели</w:t>
            </w:r>
            <w:proofErr w:type="spellEnd"/>
            <w:r w:rsidRPr="00C83A36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,</w:t>
            </w:r>
            <w:r w:rsidRPr="00C83A36">
              <w:rPr>
                <w:rFonts w:ascii="Times New Roman" w:hAnsi="Times New Roman" w:cs="Times New Roman"/>
                <w:sz w:val="20"/>
                <w:szCs w:val="20"/>
                <w:lang w:val="kk-KZ" w:eastAsia="zh-CN"/>
              </w:rPr>
              <w:t>кент.Шиели,мкр.Ак Орда, квартал 3, ст-е 25</w:t>
            </w:r>
          </w:p>
        </w:tc>
      </w:tr>
      <w:tr w:rsidR="00E40602" w:rsidRPr="008A1AC4" w:rsidTr="007601E4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02" w:rsidRPr="008A1AC4" w:rsidRDefault="00381388" w:rsidP="000D5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02" w:rsidRPr="008A1AC4" w:rsidRDefault="00381388" w:rsidP="000D52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Условия гарантийного </w:t>
            </w:r>
            <w:r w:rsidRPr="008A1AC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B3E" w:rsidRPr="008A1AC4" w:rsidRDefault="004C4B3E" w:rsidP="004C4B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Гарантийное сервисное обслуживание медицинской техники не менее 37 месяцев.</w:t>
            </w:r>
          </w:p>
          <w:p w:rsidR="004C4B3E" w:rsidRPr="008A1AC4" w:rsidRDefault="004C4B3E" w:rsidP="004C4B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Плановое техническое обслуживание должно проводиться не реже чем 1 раз в квартал.</w:t>
            </w:r>
          </w:p>
          <w:p w:rsidR="004C4B3E" w:rsidRPr="008A1AC4" w:rsidRDefault="004C4B3E" w:rsidP="004C4B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4C4B3E" w:rsidRPr="008A1AC4" w:rsidRDefault="004C4B3E" w:rsidP="004C4B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- замену отработавших ресурс составных частей;</w:t>
            </w:r>
          </w:p>
          <w:p w:rsidR="004C4B3E" w:rsidRPr="008A1AC4" w:rsidRDefault="004C4B3E" w:rsidP="004C4B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- замене или восстановлении отдельных частей медицинской техники;</w:t>
            </w:r>
          </w:p>
          <w:p w:rsidR="004C4B3E" w:rsidRPr="008A1AC4" w:rsidRDefault="004C4B3E" w:rsidP="004C4B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4C4B3E" w:rsidRPr="008A1AC4" w:rsidRDefault="004C4B3E" w:rsidP="004C4B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4C4B3E" w:rsidRPr="008A1AC4" w:rsidRDefault="004C4B3E" w:rsidP="004C4B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1AC4">
              <w:rPr>
                <w:rFonts w:ascii="Times New Roman" w:hAnsi="Times New Roman" w:cs="Times New Roman"/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E40602" w:rsidRPr="008A1AC4" w:rsidRDefault="004C4B3E" w:rsidP="004C4B3E">
            <w:pPr>
              <w:pStyle w:val="10"/>
            </w:pPr>
            <w:r w:rsidRPr="008A1AC4"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7B6A30" w:rsidRPr="008A1AC4" w:rsidRDefault="007B6A30" w:rsidP="007B6A30">
      <w:pPr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8A1AC4">
        <w:rPr>
          <w:rFonts w:ascii="Times New Roman" w:hAnsi="Times New Roman" w:cs="Times New Roman"/>
          <w:i/>
          <w:color w:val="000000"/>
          <w:sz w:val="20"/>
          <w:szCs w:val="20"/>
        </w:rPr>
        <w:lastRenderedPageBreak/>
        <w:t xml:space="preserve">   </w:t>
      </w:r>
    </w:p>
    <w:p w:rsidR="005B15B8" w:rsidRPr="008A1AC4" w:rsidRDefault="005B15B8" w:rsidP="000D52F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sectPr w:rsidR="005B15B8" w:rsidRPr="008A1AC4" w:rsidSect="007943B4">
      <w:pgSz w:w="16838" w:h="11906" w:orient="landscape"/>
      <w:pgMar w:top="1135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55D" w:rsidRDefault="0069355D" w:rsidP="00FE64C1">
      <w:pPr>
        <w:spacing w:after="0" w:line="240" w:lineRule="auto"/>
      </w:pPr>
      <w:r>
        <w:separator/>
      </w:r>
    </w:p>
  </w:endnote>
  <w:endnote w:type="continuationSeparator" w:id="1">
    <w:p w:rsidR="0069355D" w:rsidRDefault="0069355D" w:rsidP="00FE6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55D" w:rsidRDefault="0069355D" w:rsidP="00FE64C1">
      <w:pPr>
        <w:spacing w:after="0" w:line="240" w:lineRule="auto"/>
      </w:pPr>
      <w:r>
        <w:separator/>
      </w:r>
    </w:p>
  </w:footnote>
  <w:footnote w:type="continuationSeparator" w:id="1">
    <w:p w:rsidR="0069355D" w:rsidRDefault="0069355D" w:rsidP="00FE64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0C27"/>
    <w:multiLevelType w:val="singleLevel"/>
    <w:tmpl w:val="C8DC48BE"/>
    <w:lvl w:ilvl="0">
      <w:numFmt w:val="bullet"/>
      <w:lvlText w:val="•"/>
      <w:lvlJc w:val="left"/>
    </w:lvl>
  </w:abstractNum>
  <w:abstractNum w:abstractNumId="1">
    <w:nsid w:val="16A7291A"/>
    <w:multiLevelType w:val="multilevel"/>
    <w:tmpl w:val="2AC89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AC05BEE"/>
    <w:multiLevelType w:val="hybridMultilevel"/>
    <w:tmpl w:val="1952A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5E6E"/>
    <w:rsid w:val="00007EB1"/>
    <w:rsid w:val="00020989"/>
    <w:rsid w:val="000260C4"/>
    <w:rsid w:val="0002621C"/>
    <w:rsid w:val="0005746A"/>
    <w:rsid w:val="00082C6D"/>
    <w:rsid w:val="00085E0E"/>
    <w:rsid w:val="00093C38"/>
    <w:rsid w:val="000A40EF"/>
    <w:rsid w:val="000A7BE8"/>
    <w:rsid w:val="000B1B66"/>
    <w:rsid w:val="000C1329"/>
    <w:rsid w:val="000C2EB6"/>
    <w:rsid w:val="000D1156"/>
    <w:rsid w:val="000D4133"/>
    <w:rsid w:val="000D52F7"/>
    <w:rsid w:val="000E5C0E"/>
    <w:rsid w:val="000F2C41"/>
    <w:rsid w:val="00100B50"/>
    <w:rsid w:val="001101D0"/>
    <w:rsid w:val="0012465C"/>
    <w:rsid w:val="00127805"/>
    <w:rsid w:val="00135E9F"/>
    <w:rsid w:val="00141B27"/>
    <w:rsid w:val="00143FD6"/>
    <w:rsid w:val="00182413"/>
    <w:rsid w:val="00187C0D"/>
    <w:rsid w:val="00191E9F"/>
    <w:rsid w:val="001A14B7"/>
    <w:rsid w:val="002326D8"/>
    <w:rsid w:val="002518A7"/>
    <w:rsid w:val="00261810"/>
    <w:rsid w:val="00270765"/>
    <w:rsid w:val="00283115"/>
    <w:rsid w:val="002B08E3"/>
    <w:rsid w:val="002B127E"/>
    <w:rsid w:val="002C11CA"/>
    <w:rsid w:val="002C6AB4"/>
    <w:rsid w:val="002D35A9"/>
    <w:rsid w:val="003302DB"/>
    <w:rsid w:val="003371C0"/>
    <w:rsid w:val="00342F9A"/>
    <w:rsid w:val="00354CC6"/>
    <w:rsid w:val="00376FF6"/>
    <w:rsid w:val="00381388"/>
    <w:rsid w:val="00386F85"/>
    <w:rsid w:val="003974B9"/>
    <w:rsid w:val="003B14FC"/>
    <w:rsid w:val="003B2D16"/>
    <w:rsid w:val="003C24F7"/>
    <w:rsid w:val="003E2B5F"/>
    <w:rsid w:val="003F2B38"/>
    <w:rsid w:val="003F484D"/>
    <w:rsid w:val="003F6DEC"/>
    <w:rsid w:val="00403927"/>
    <w:rsid w:val="00410B59"/>
    <w:rsid w:val="00417586"/>
    <w:rsid w:val="00427262"/>
    <w:rsid w:val="00427AF7"/>
    <w:rsid w:val="00462A8C"/>
    <w:rsid w:val="00473852"/>
    <w:rsid w:val="004930F4"/>
    <w:rsid w:val="004970A0"/>
    <w:rsid w:val="004A2180"/>
    <w:rsid w:val="004C4B3E"/>
    <w:rsid w:val="004E483B"/>
    <w:rsid w:val="005311B8"/>
    <w:rsid w:val="0055581A"/>
    <w:rsid w:val="00563E47"/>
    <w:rsid w:val="00573825"/>
    <w:rsid w:val="0058221E"/>
    <w:rsid w:val="00582E55"/>
    <w:rsid w:val="005830E5"/>
    <w:rsid w:val="005A1895"/>
    <w:rsid w:val="005B15B8"/>
    <w:rsid w:val="005B3DF8"/>
    <w:rsid w:val="005B5E6E"/>
    <w:rsid w:val="005F332E"/>
    <w:rsid w:val="005F545D"/>
    <w:rsid w:val="00617051"/>
    <w:rsid w:val="00622738"/>
    <w:rsid w:val="0065133B"/>
    <w:rsid w:val="00664B09"/>
    <w:rsid w:val="00665343"/>
    <w:rsid w:val="00680C29"/>
    <w:rsid w:val="0068177D"/>
    <w:rsid w:val="0068200F"/>
    <w:rsid w:val="0069355D"/>
    <w:rsid w:val="006A3B4B"/>
    <w:rsid w:val="006D4691"/>
    <w:rsid w:val="006D5D0C"/>
    <w:rsid w:val="006E014E"/>
    <w:rsid w:val="006E2ABD"/>
    <w:rsid w:val="006E5B89"/>
    <w:rsid w:val="006F051E"/>
    <w:rsid w:val="006F3A5C"/>
    <w:rsid w:val="006F67FF"/>
    <w:rsid w:val="007057D4"/>
    <w:rsid w:val="00711E8E"/>
    <w:rsid w:val="007601E4"/>
    <w:rsid w:val="00763A9B"/>
    <w:rsid w:val="00770E41"/>
    <w:rsid w:val="00774D87"/>
    <w:rsid w:val="007755F9"/>
    <w:rsid w:val="007868F7"/>
    <w:rsid w:val="007940A4"/>
    <w:rsid w:val="007943B4"/>
    <w:rsid w:val="007A02F6"/>
    <w:rsid w:val="007A1DA0"/>
    <w:rsid w:val="007B6A30"/>
    <w:rsid w:val="007D7985"/>
    <w:rsid w:val="007F6DB3"/>
    <w:rsid w:val="00806E60"/>
    <w:rsid w:val="00820071"/>
    <w:rsid w:val="008219AD"/>
    <w:rsid w:val="00821F1A"/>
    <w:rsid w:val="00845291"/>
    <w:rsid w:val="008940B5"/>
    <w:rsid w:val="008A1AC4"/>
    <w:rsid w:val="008C16DA"/>
    <w:rsid w:val="008C1D8D"/>
    <w:rsid w:val="008E658F"/>
    <w:rsid w:val="008E77A0"/>
    <w:rsid w:val="00920009"/>
    <w:rsid w:val="009208AD"/>
    <w:rsid w:val="00922395"/>
    <w:rsid w:val="00935292"/>
    <w:rsid w:val="009655B3"/>
    <w:rsid w:val="00994EE1"/>
    <w:rsid w:val="009A6383"/>
    <w:rsid w:val="009B50C6"/>
    <w:rsid w:val="009B68E1"/>
    <w:rsid w:val="009C7724"/>
    <w:rsid w:val="009D2946"/>
    <w:rsid w:val="009E7862"/>
    <w:rsid w:val="00A0615B"/>
    <w:rsid w:val="00A1539E"/>
    <w:rsid w:val="00A35580"/>
    <w:rsid w:val="00A5568E"/>
    <w:rsid w:val="00A70C47"/>
    <w:rsid w:val="00A75C58"/>
    <w:rsid w:val="00A75C80"/>
    <w:rsid w:val="00AC04A6"/>
    <w:rsid w:val="00AC7C35"/>
    <w:rsid w:val="00AD0B00"/>
    <w:rsid w:val="00AD1632"/>
    <w:rsid w:val="00AE228B"/>
    <w:rsid w:val="00AE3F1A"/>
    <w:rsid w:val="00AE455D"/>
    <w:rsid w:val="00AE6E03"/>
    <w:rsid w:val="00AF122A"/>
    <w:rsid w:val="00B0312C"/>
    <w:rsid w:val="00B212FD"/>
    <w:rsid w:val="00B2694F"/>
    <w:rsid w:val="00B32B27"/>
    <w:rsid w:val="00B51C9C"/>
    <w:rsid w:val="00B55376"/>
    <w:rsid w:val="00B5649A"/>
    <w:rsid w:val="00B75186"/>
    <w:rsid w:val="00B77D96"/>
    <w:rsid w:val="00B819D3"/>
    <w:rsid w:val="00BA0066"/>
    <w:rsid w:val="00BA55AE"/>
    <w:rsid w:val="00BA5B1B"/>
    <w:rsid w:val="00BB7302"/>
    <w:rsid w:val="00BC3553"/>
    <w:rsid w:val="00BC55D9"/>
    <w:rsid w:val="00BD2123"/>
    <w:rsid w:val="00C0593F"/>
    <w:rsid w:val="00C11B01"/>
    <w:rsid w:val="00C22AE2"/>
    <w:rsid w:val="00C453D5"/>
    <w:rsid w:val="00C56E8B"/>
    <w:rsid w:val="00C67FE2"/>
    <w:rsid w:val="00C83A36"/>
    <w:rsid w:val="00C905F9"/>
    <w:rsid w:val="00CA1857"/>
    <w:rsid w:val="00CA1931"/>
    <w:rsid w:val="00CA46EE"/>
    <w:rsid w:val="00CC2EE6"/>
    <w:rsid w:val="00CD012E"/>
    <w:rsid w:val="00CD2D4C"/>
    <w:rsid w:val="00CF53E3"/>
    <w:rsid w:val="00D03B9D"/>
    <w:rsid w:val="00D32639"/>
    <w:rsid w:val="00D3391C"/>
    <w:rsid w:val="00D51E47"/>
    <w:rsid w:val="00D56338"/>
    <w:rsid w:val="00D75229"/>
    <w:rsid w:val="00D8419A"/>
    <w:rsid w:val="00D94029"/>
    <w:rsid w:val="00D96DEE"/>
    <w:rsid w:val="00DA5CD0"/>
    <w:rsid w:val="00DA60BF"/>
    <w:rsid w:val="00DB7863"/>
    <w:rsid w:val="00DC1329"/>
    <w:rsid w:val="00DE114E"/>
    <w:rsid w:val="00E016BC"/>
    <w:rsid w:val="00E0313D"/>
    <w:rsid w:val="00E12050"/>
    <w:rsid w:val="00E1411F"/>
    <w:rsid w:val="00E14DAE"/>
    <w:rsid w:val="00E241C8"/>
    <w:rsid w:val="00E27B09"/>
    <w:rsid w:val="00E40602"/>
    <w:rsid w:val="00E43067"/>
    <w:rsid w:val="00E72001"/>
    <w:rsid w:val="00E75DEC"/>
    <w:rsid w:val="00EB687E"/>
    <w:rsid w:val="00ED2EB9"/>
    <w:rsid w:val="00ED3D2A"/>
    <w:rsid w:val="00ED4A89"/>
    <w:rsid w:val="00EE7773"/>
    <w:rsid w:val="00EF25F0"/>
    <w:rsid w:val="00EF61F8"/>
    <w:rsid w:val="00F03C02"/>
    <w:rsid w:val="00F15821"/>
    <w:rsid w:val="00F23F5B"/>
    <w:rsid w:val="00F27C13"/>
    <w:rsid w:val="00F31A44"/>
    <w:rsid w:val="00F33DCD"/>
    <w:rsid w:val="00F456A3"/>
    <w:rsid w:val="00F56ABF"/>
    <w:rsid w:val="00F73A34"/>
    <w:rsid w:val="00F80619"/>
    <w:rsid w:val="00F81AB3"/>
    <w:rsid w:val="00FA0443"/>
    <w:rsid w:val="00FA60D8"/>
    <w:rsid w:val="00FB01BF"/>
    <w:rsid w:val="00FB7D20"/>
    <w:rsid w:val="00FC1CDB"/>
    <w:rsid w:val="00FC5FEF"/>
    <w:rsid w:val="00FC64B5"/>
    <w:rsid w:val="00FD2310"/>
    <w:rsid w:val="00FE64C1"/>
    <w:rsid w:val="00FF2AE9"/>
    <w:rsid w:val="00FF4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6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5B5E6E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5B5E6E"/>
    <w:rPr>
      <w:rFonts w:ascii="Calibri Light" w:eastAsia="Times New Roman" w:hAnsi="Calibri Light" w:cs="Times New Roman"/>
      <w:b/>
      <w:bCs/>
      <w:color w:val="5B9BD5"/>
    </w:rPr>
  </w:style>
  <w:style w:type="paragraph" w:styleId="a3">
    <w:name w:val="No Spacing"/>
    <w:link w:val="a4"/>
    <w:qFormat/>
    <w:rsid w:val="005B5E6E"/>
    <w:rPr>
      <w:rFonts w:eastAsia="Times New Roman"/>
      <w:sz w:val="22"/>
      <w:szCs w:val="22"/>
      <w:lang w:eastAsia="en-US"/>
    </w:rPr>
  </w:style>
  <w:style w:type="character" w:customStyle="1" w:styleId="a4">
    <w:name w:val="Без интервала Знак"/>
    <w:link w:val="a3"/>
    <w:locked/>
    <w:rsid w:val="005B5E6E"/>
    <w:rPr>
      <w:rFonts w:eastAsia="Times New Roman"/>
      <w:sz w:val="22"/>
      <w:szCs w:val="22"/>
      <w:lang w:val="ru-RU" w:eastAsia="en-US" w:bidi="ar-SA"/>
    </w:rPr>
  </w:style>
  <w:style w:type="paragraph" w:styleId="a5">
    <w:name w:val="List Paragraph"/>
    <w:basedOn w:val="a"/>
    <w:uiPriority w:val="34"/>
    <w:qFormat/>
    <w:rsid w:val="00A70C47"/>
    <w:pPr>
      <w:ind w:left="720"/>
      <w:contextualSpacing/>
    </w:pPr>
  </w:style>
  <w:style w:type="character" w:customStyle="1" w:styleId="2">
    <w:name w:val="Стиль2 Знак"/>
    <w:link w:val="20"/>
    <w:rsid w:val="00CC2EE6"/>
    <w:rPr>
      <w:rFonts w:cs="Calibri"/>
      <w:sz w:val="24"/>
      <w:szCs w:val="24"/>
    </w:rPr>
  </w:style>
  <w:style w:type="paragraph" w:customStyle="1" w:styleId="20">
    <w:name w:val="Стиль2"/>
    <w:basedOn w:val="a"/>
    <w:link w:val="2"/>
    <w:qFormat/>
    <w:rsid w:val="00CC2EE6"/>
    <w:pPr>
      <w:spacing w:after="0" w:line="240" w:lineRule="auto"/>
      <w:jc w:val="both"/>
    </w:pPr>
    <w:rPr>
      <w:rFonts w:cs="Times New Roman"/>
      <w:sz w:val="24"/>
      <w:szCs w:val="24"/>
    </w:rPr>
  </w:style>
  <w:style w:type="character" w:customStyle="1" w:styleId="1">
    <w:name w:val="Стиль1 Знак"/>
    <w:link w:val="10"/>
    <w:rsid w:val="00CC2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Стиль1"/>
    <w:basedOn w:val="a"/>
    <w:link w:val="1"/>
    <w:qFormat/>
    <w:rsid w:val="00CC2EE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FC1CDB"/>
    <w:rPr>
      <w:color w:val="0563C1"/>
      <w:u w:val="single"/>
    </w:rPr>
  </w:style>
  <w:style w:type="paragraph" w:styleId="a7">
    <w:name w:val="Normal (Web)"/>
    <w:basedOn w:val="a"/>
    <w:uiPriority w:val="99"/>
    <w:unhideWhenUsed/>
    <w:rsid w:val="0065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5133B"/>
  </w:style>
  <w:style w:type="character" w:styleId="a8">
    <w:name w:val="Strong"/>
    <w:uiPriority w:val="22"/>
    <w:qFormat/>
    <w:rsid w:val="0065133B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FE64C1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aa">
    <w:name w:val="Верхний колонтитул Знак"/>
    <w:link w:val="a9"/>
    <w:uiPriority w:val="99"/>
    <w:semiHidden/>
    <w:rsid w:val="00FE64C1"/>
    <w:rPr>
      <w:rFonts w:cs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FE64C1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rsid w:val="00FE64C1"/>
    <w:rPr>
      <w:rFonts w:cs="Calibri"/>
      <w:sz w:val="22"/>
      <w:szCs w:val="22"/>
      <w:lang w:eastAsia="en-US"/>
    </w:rPr>
  </w:style>
  <w:style w:type="paragraph" w:styleId="ad">
    <w:name w:val="List"/>
    <w:basedOn w:val="ae"/>
    <w:rsid w:val="00381388"/>
    <w:pPr>
      <w:suppressAutoHyphens/>
    </w:pPr>
    <w:rPr>
      <w:rFonts w:ascii="Arial" w:hAnsi="Arial" w:cs="Mangal"/>
      <w:lang w:eastAsia="ar-SA"/>
    </w:rPr>
  </w:style>
  <w:style w:type="paragraph" w:styleId="ae">
    <w:name w:val="Body Text"/>
    <w:basedOn w:val="a"/>
    <w:link w:val="af"/>
    <w:uiPriority w:val="99"/>
    <w:semiHidden/>
    <w:unhideWhenUsed/>
    <w:rsid w:val="00381388"/>
    <w:pPr>
      <w:spacing w:after="120"/>
    </w:pPr>
    <w:rPr>
      <w:rFonts w:cs="Times New Roman"/>
    </w:rPr>
  </w:style>
  <w:style w:type="character" w:customStyle="1" w:styleId="af">
    <w:name w:val="Основной текст Знак"/>
    <w:link w:val="ae"/>
    <w:uiPriority w:val="99"/>
    <w:semiHidden/>
    <w:rsid w:val="00381388"/>
    <w:rPr>
      <w:rFonts w:cs="Calibr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8E67B-168D-40BE-A00F-F23A99BCE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1973</Words>
  <Characters>11248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3</cp:revision>
  <cp:lastPrinted>2022-09-28T10:38:00Z</cp:lastPrinted>
  <dcterms:created xsi:type="dcterms:W3CDTF">2023-11-27T10:13:00Z</dcterms:created>
  <dcterms:modified xsi:type="dcterms:W3CDTF">2023-11-28T11:18:00Z</dcterms:modified>
</cp:coreProperties>
</file>